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272E" w:rsidRPr="00035DFD" w:rsidRDefault="006C272E" w:rsidP="006C272E">
      <w:pPr>
        <w:pStyle w:val="Titre3"/>
        <w:spacing w:line="480" w:lineRule="auto"/>
      </w:pPr>
      <w:r w:rsidRPr="00035DFD">
        <w:t>Veni Redémptor géntium</w:t>
      </w:r>
      <w:bookmarkStart w:id="0" w:name="VeniRedemptorGentium"/>
      <w:bookmarkEnd w:id="0"/>
      <w:r w:rsidRPr="00035DFD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0"/>
        <w:gridCol w:w="3721"/>
      </w:tblGrid>
      <w:tr w:rsidR="006C272E" w:rsidRPr="00035DFD" w:rsidTr="006C272E">
        <w:tc>
          <w:tcPr>
            <w:tcW w:w="3640" w:type="dxa"/>
          </w:tcPr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1. Veni Redémptor géntium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Osténde partum Vírginis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Mirétur omne sǽculum </w:t>
            </w:r>
          </w:p>
          <w:p w:rsidR="006C272E" w:rsidRPr="00B3763B" w:rsidRDefault="006C272E" w:rsidP="003F7787">
            <w:pPr>
              <w:pStyle w:val="hima"/>
            </w:pPr>
            <w:r w:rsidRPr="00B3763B">
              <w:t>Talis decet partus Deum.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>Viens, rédempteur des nations</w:t>
            </w:r>
            <w:r>
              <w:t xml:space="preserve">, </w:t>
            </w:r>
          </w:p>
          <w:p w:rsidR="006C272E" w:rsidRDefault="006C272E" w:rsidP="00344920">
            <w:pPr>
              <w:pStyle w:val="ivh"/>
            </w:pPr>
            <w:r w:rsidRPr="00035DFD">
              <w:t>Fais voir la Vierge qui enfante</w:t>
            </w:r>
            <w:r>
              <w:t xml:space="preserve">. </w:t>
            </w:r>
          </w:p>
          <w:p w:rsidR="006C272E" w:rsidRDefault="006C272E" w:rsidP="00344920">
            <w:pPr>
              <w:pStyle w:val="ivh"/>
            </w:pPr>
            <w:r w:rsidRPr="00035DFD">
              <w:t>Que tous les siècles s</w:t>
            </w:r>
            <w:r>
              <w:t>’</w:t>
            </w:r>
            <w:r w:rsidRPr="00035DFD">
              <w:t>émerveillent</w:t>
            </w:r>
            <w:r>
              <w:t>.</w:t>
            </w:r>
          </w:p>
          <w:p w:rsidR="006C272E" w:rsidRPr="00035DFD" w:rsidRDefault="006C272E" w:rsidP="00344920">
            <w:pPr>
              <w:pStyle w:val="ivhi"/>
            </w:pPr>
            <w:r>
              <w:t xml:space="preserve">Un tel </w:t>
            </w:r>
            <w:r w:rsidRPr="00035DFD">
              <w:t xml:space="preserve">enfantement </w:t>
            </w:r>
            <w:r>
              <w:t xml:space="preserve">est </w:t>
            </w:r>
            <w:r w:rsidRPr="00035DFD">
              <w:t>digne d</w:t>
            </w:r>
            <w:r>
              <w:t>e</w:t>
            </w:r>
            <w:r w:rsidRPr="00035DFD">
              <w:t xml:space="preserve"> Dieu.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2. Non ex viríli sémine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Sed mýstico spirámine </w:t>
            </w:r>
          </w:p>
          <w:p w:rsidR="006C272E" w:rsidRPr="00035DFD" w:rsidRDefault="006C272E" w:rsidP="003F7787">
            <w:pPr>
              <w:pStyle w:val="hymnus"/>
            </w:pPr>
            <w:r w:rsidRPr="00035DFD">
              <w:t xml:space="preserve">Verbum Dei factum caro </w:t>
            </w:r>
          </w:p>
          <w:p w:rsidR="006C272E" w:rsidRPr="00035DFD" w:rsidRDefault="006C272E" w:rsidP="003F7787">
            <w:pPr>
              <w:pStyle w:val="hima"/>
            </w:pPr>
            <w:r w:rsidRPr="00035DFD">
              <w:t>Fructúsque ventris flóruit.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>Non pas d</w:t>
            </w:r>
            <w:r>
              <w:t>’</w:t>
            </w:r>
            <w:r w:rsidRPr="00035DFD">
              <w:t>une semence d</w:t>
            </w:r>
            <w:r>
              <w:t>’</w:t>
            </w:r>
            <w:r w:rsidRPr="00035DFD">
              <w:t>homme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Mais par le souffle de l</w:t>
            </w:r>
            <w:r>
              <w:t>’</w:t>
            </w:r>
            <w:r w:rsidRPr="00035DFD">
              <w:t>Esprit</w:t>
            </w:r>
            <w:r>
              <w:t xml:space="preserve">, </w:t>
            </w:r>
          </w:p>
          <w:p w:rsidR="006C272E" w:rsidRDefault="006C272E" w:rsidP="00344920">
            <w:pPr>
              <w:pStyle w:val="ivh"/>
            </w:pPr>
            <w:r w:rsidRPr="00035DFD">
              <w:t>Le verbe de Dieu s</w:t>
            </w:r>
            <w:r>
              <w:t>’</w:t>
            </w:r>
            <w:r w:rsidRPr="00035DFD">
              <w:t>est fait chair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vhi"/>
            </w:pPr>
            <w:r w:rsidRPr="00035DFD">
              <w:t>Et le fruit du ventre a fleuri.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035DFD" w:rsidRDefault="006C272E" w:rsidP="003F7787">
            <w:pPr>
              <w:pStyle w:val="hymnus"/>
            </w:pPr>
            <w:r w:rsidRPr="00035DFD">
              <w:t>3. Alvus tum</w:t>
            </w:r>
            <w:r>
              <w:t>é</w:t>
            </w:r>
            <w:r w:rsidRPr="00035DFD">
              <w:t>scit V</w:t>
            </w:r>
            <w:r>
              <w:t>í</w:t>
            </w:r>
            <w:r w:rsidRPr="00035DFD">
              <w:t xml:space="preserve">rginis, </w:t>
            </w:r>
          </w:p>
          <w:p w:rsidR="006C272E" w:rsidRPr="00035DFD" w:rsidRDefault="006C272E" w:rsidP="003F7787">
            <w:pPr>
              <w:pStyle w:val="hymnus"/>
            </w:pPr>
            <w:r w:rsidRPr="00035DFD">
              <w:t>C</w:t>
            </w:r>
            <w:r>
              <w:t>laus</w:t>
            </w:r>
            <w:r w:rsidRPr="00035DFD">
              <w:t xml:space="preserve">trum pudóris pérmanet, </w:t>
            </w:r>
          </w:p>
          <w:p w:rsidR="006C272E" w:rsidRPr="00035DFD" w:rsidRDefault="006C272E" w:rsidP="003F7787">
            <w:pPr>
              <w:pStyle w:val="hymnus"/>
            </w:pPr>
            <w:r w:rsidRPr="00035DFD">
              <w:t>Vex</w:t>
            </w:r>
            <w:r>
              <w:t>í</w:t>
            </w:r>
            <w:r w:rsidRPr="00035DFD">
              <w:t>lla virt</w:t>
            </w:r>
            <w:r>
              <w:t>ú</w:t>
            </w:r>
            <w:r w:rsidRPr="00035DFD">
              <w:t xml:space="preserve">tum micant, </w:t>
            </w:r>
          </w:p>
          <w:p w:rsidR="006C272E" w:rsidRPr="00035DFD" w:rsidRDefault="006C272E" w:rsidP="003F7787">
            <w:pPr>
              <w:pStyle w:val="hymnus"/>
            </w:pPr>
            <w:r w:rsidRPr="00035DFD">
              <w:t>Vers</w:t>
            </w:r>
            <w:r>
              <w:t>á</w:t>
            </w:r>
            <w:r w:rsidRPr="00035DFD">
              <w:t>tur in templo Deus.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 xml:space="preserve">Le sein de la Vierge </w:t>
            </w:r>
            <w:r>
              <w:t>grossit</w:t>
            </w:r>
            <w:r w:rsidRPr="00035DFD">
              <w:t>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Sa virginité reste intacte</w:t>
            </w:r>
            <w:r>
              <w:t> </w:t>
            </w:r>
            <w:r w:rsidRPr="00035DFD">
              <w:t>;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>
              <w:t>Que brillent les</w:t>
            </w:r>
            <w:r w:rsidRPr="00035DFD">
              <w:t xml:space="preserve"> étendards des vertus,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vhi"/>
            </w:pPr>
            <w:r w:rsidRPr="00035DFD">
              <w:t>Car Dieu se trouve dans son temple.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035DFD" w:rsidRDefault="006C272E" w:rsidP="003F7787">
            <w:pPr>
              <w:pStyle w:val="hymnus"/>
              <w:rPr>
                <w:lang w:val="es-ES_tradnl"/>
              </w:rPr>
            </w:pPr>
            <w:r w:rsidRPr="00035DFD">
              <w:rPr>
                <w:lang w:val="es-ES_tradnl"/>
              </w:rPr>
              <w:t xml:space="preserve">4. Procédat e thálamo suo, </w:t>
            </w:r>
          </w:p>
          <w:p w:rsidR="006C272E" w:rsidRPr="00035DFD" w:rsidRDefault="006C272E" w:rsidP="003F7787">
            <w:pPr>
              <w:pStyle w:val="hymnus"/>
              <w:rPr>
                <w:lang w:val="es-ES_tradnl"/>
              </w:rPr>
            </w:pPr>
            <w:r w:rsidRPr="00035DFD">
              <w:rPr>
                <w:lang w:val="es-ES_tradnl"/>
              </w:rPr>
              <w:t>Pudóris aula r</w:t>
            </w:r>
            <w:r>
              <w:rPr>
                <w:lang w:val="es-ES_tradnl"/>
              </w:rPr>
              <w:t>é</w:t>
            </w:r>
            <w:r w:rsidRPr="00035DFD">
              <w:rPr>
                <w:lang w:val="es-ES_tradnl"/>
              </w:rPr>
              <w:t xml:space="preserve">gia,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Géminæ gigas substántiæ </w:t>
            </w:r>
          </w:p>
          <w:p w:rsidR="006C272E" w:rsidRPr="00344920" w:rsidRDefault="006C272E" w:rsidP="006C272E">
            <w:pPr>
              <w:pStyle w:val="hima"/>
              <w:rPr>
                <w:lang w:val="fr-FR"/>
              </w:rPr>
            </w:pPr>
            <w:r w:rsidRPr="00344920">
              <w:rPr>
                <w:lang w:val="fr-FR"/>
              </w:rPr>
              <w:t>Alacris ut currat viam.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>Qu</w:t>
            </w:r>
            <w:r>
              <w:t>’</w:t>
            </w:r>
            <w:r w:rsidRPr="00035DFD">
              <w:t>il s</w:t>
            </w:r>
            <w:r>
              <w:t>’</w:t>
            </w:r>
            <w:r w:rsidRPr="00035DFD">
              <w:t>avance hors de sa chambre,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Royal palais de la pudeur,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Ce géant à double nature,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vhi"/>
            </w:pPr>
            <w:r w:rsidRPr="00035DFD">
              <w:t>Pressé de parcourir sa route</w:t>
            </w:r>
            <w:r>
              <w:t> </w:t>
            </w:r>
            <w:r w:rsidRPr="00035DFD">
              <w:t>!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5. Æquális ætérno Patri,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Carnis trophǽo cíngere, </w:t>
            </w:r>
          </w:p>
          <w:p w:rsidR="006C272E" w:rsidRPr="006C272E" w:rsidRDefault="006C272E" w:rsidP="003F7787">
            <w:pPr>
              <w:pStyle w:val="hymnus"/>
              <w:rPr>
                <w:lang w:val="es-ES_tradnl"/>
              </w:rPr>
            </w:pPr>
            <w:r w:rsidRPr="006C272E">
              <w:rPr>
                <w:lang w:val="es-ES_tradnl"/>
              </w:rPr>
              <w:t xml:space="preserve">Infírma nostri córporis </w:t>
            </w:r>
          </w:p>
          <w:p w:rsidR="006C272E" w:rsidRPr="00344920" w:rsidRDefault="006C272E" w:rsidP="006C272E">
            <w:pPr>
              <w:pStyle w:val="hima"/>
              <w:rPr>
                <w:lang w:val="es-ES_tradnl"/>
              </w:rPr>
            </w:pPr>
            <w:r w:rsidRPr="00344920">
              <w:rPr>
                <w:lang w:val="es-ES_tradnl"/>
              </w:rPr>
              <w:t>Virtúte firmans pérpeti.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>Égal à ton Père éternel,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Revêts la chair comme un trophée</w:t>
            </w:r>
            <w:r>
              <w:t> </w:t>
            </w:r>
            <w:r w:rsidRPr="00035DFD">
              <w:t>;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Affermis notre corps infirme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vhi"/>
            </w:pPr>
            <w:r w:rsidRPr="00035DFD">
              <w:t>De ton éternelle puissance.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6. Præsépe jam fulget tuum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Luménque nox spirat novum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Quod nulla nox intérpolet </w:t>
            </w:r>
          </w:p>
          <w:p w:rsidR="006C272E" w:rsidRPr="00344920" w:rsidRDefault="006C272E" w:rsidP="006C272E">
            <w:pPr>
              <w:pStyle w:val="hima"/>
              <w:rPr>
                <w:lang w:val="fr-FR"/>
              </w:rPr>
            </w:pPr>
            <w:r w:rsidRPr="00344920">
              <w:rPr>
                <w:lang w:val="fr-FR"/>
              </w:rPr>
              <w:t>Fidéque jugi lúceat.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 w:rsidRPr="00035DFD">
              <w:t>Ta crèche déjà resplendit,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hi"/>
            </w:pPr>
            <w:r>
              <w:t>Et l</w:t>
            </w:r>
            <w:r w:rsidRPr="00035DFD">
              <w:t>a nuit exhale un</w:t>
            </w:r>
            <w:r>
              <w:t>e</w:t>
            </w:r>
            <w:r w:rsidRPr="00035DFD">
              <w:t xml:space="preserve"> </w:t>
            </w:r>
            <w:r>
              <w:t>lumière nouvelle </w:t>
            </w:r>
            <w:r w:rsidRPr="00035DFD">
              <w:t>:</w:t>
            </w:r>
            <w:r>
              <w:t xml:space="preserve"> / </w:t>
            </w:r>
            <w:r w:rsidRPr="00035DFD">
              <w:t xml:space="preserve">Que </w:t>
            </w:r>
            <w:r>
              <w:t xml:space="preserve">nulle nuit ne </w:t>
            </w:r>
            <w:r w:rsidRPr="00035DFD">
              <w:t>ternisse</w:t>
            </w:r>
            <w:r>
              <w:t xml:space="preserve"> cette </w:t>
            </w:r>
            <w:r w:rsidRPr="00035DFD">
              <w:rPr>
                <w:rStyle w:val="italicus"/>
              </w:rPr>
              <w:t>lumière</w:t>
            </w:r>
            <w:r w:rsidRPr="00035DFD">
              <w:t>,</w:t>
            </w:r>
            <w:r>
              <w:t xml:space="preserve"> / </w:t>
            </w:r>
            <w:r w:rsidRPr="00035DFD">
              <w:t>Qu</w:t>
            </w:r>
            <w:r>
              <w:t>’elle</w:t>
            </w:r>
            <w:r w:rsidRPr="00035DFD">
              <w:t xml:space="preserve"> brille d</w:t>
            </w:r>
            <w:r>
              <w:t>’</w:t>
            </w:r>
            <w:r w:rsidRPr="00035DFD">
              <w:t>une foi sans fin.</w:t>
            </w:r>
          </w:p>
        </w:tc>
      </w:tr>
      <w:tr w:rsidR="006C272E" w:rsidRPr="00035DFD" w:rsidTr="006C272E">
        <w:tc>
          <w:tcPr>
            <w:tcW w:w="3640" w:type="dxa"/>
          </w:tcPr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7. Sit, Christe, rex piíssime, </w:t>
            </w:r>
          </w:p>
          <w:p w:rsidR="006C272E" w:rsidRPr="006C272E" w:rsidRDefault="006C272E" w:rsidP="003F7787">
            <w:pPr>
              <w:pStyle w:val="hymnus"/>
              <w:rPr>
                <w:lang w:val="fr-FR"/>
              </w:rPr>
            </w:pPr>
            <w:r w:rsidRPr="006C272E">
              <w:rPr>
                <w:lang w:val="fr-FR"/>
              </w:rPr>
              <w:t xml:space="preserve">Tibi Patríque glória </w:t>
            </w:r>
          </w:p>
          <w:p w:rsidR="006C272E" w:rsidRPr="00035DFD" w:rsidRDefault="006C272E" w:rsidP="003F7787">
            <w:pPr>
              <w:pStyle w:val="hymnus"/>
              <w:rPr>
                <w:lang w:val="es-ES_tradnl"/>
              </w:rPr>
            </w:pPr>
            <w:r w:rsidRPr="00035DFD">
              <w:rPr>
                <w:lang w:val="es-ES_tradnl"/>
              </w:rPr>
              <w:t>Cum Sp</w:t>
            </w:r>
            <w:r>
              <w:rPr>
                <w:lang w:val="es-ES_tradnl"/>
              </w:rPr>
              <w:t>í</w:t>
            </w:r>
            <w:r w:rsidRPr="00035DFD">
              <w:rPr>
                <w:lang w:val="es-ES_tradnl"/>
              </w:rPr>
              <w:t xml:space="preserve">ritu Paráclito </w:t>
            </w:r>
          </w:p>
          <w:p w:rsidR="006C272E" w:rsidRPr="00344920" w:rsidRDefault="006C272E" w:rsidP="006C272E">
            <w:pPr>
              <w:pStyle w:val="hima"/>
              <w:rPr>
                <w:lang w:val="es-ES_tradnl"/>
              </w:rPr>
            </w:pPr>
            <w:r w:rsidRPr="00344920">
              <w:rPr>
                <w:lang w:val="es-ES_tradnl"/>
              </w:rPr>
              <w:t>In sempitérna sǽcula.</w:t>
            </w:r>
          </w:p>
        </w:tc>
        <w:tc>
          <w:tcPr>
            <w:tcW w:w="3721" w:type="dxa"/>
          </w:tcPr>
          <w:p w:rsidR="006C272E" w:rsidRDefault="006C272E" w:rsidP="00344920">
            <w:pPr>
              <w:pStyle w:val="ivh"/>
            </w:pPr>
            <w:r>
              <w:t>Ô</w:t>
            </w:r>
            <w:r w:rsidRPr="00035DFD">
              <w:t xml:space="preserve"> Christ, roi </w:t>
            </w:r>
            <w:r>
              <w:t>très bon</w:t>
            </w:r>
            <w:r w:rsidRPr="00035DFD">
              <w:t>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Gloire à ton Père et gloire à toi,</w:t>
            </w:r>
            <w:r>
              <w:t xml:space="preserve"> </w:t>
            </w:r>
          </w:p>
          <w:p w:rsidR="006C272E" w:rsidRDefault="006C272E" w:rsidP="00344920">
            <w:pPr>
              <w:pStyle w:val="ivh"/>
            </w:pPr>
            <w:r w:rsidRPr="00035DFD">
              <w:t>Avec l</w:t>
            </w:r>
            <w:r>
              <w:t>’</w:t>
            </w:r>
            <w:r w:rsidRPr="00035DFD">
              <w:t>Esprit consolateur,</w:t>
            </w:r>
            <w:r>
              <w:t xml:space="preserve"> </w:t>
            </w:r>
          </w:p>
          <w:p w:rsidR="006C272E" w:rsidRPr="00035DFD" w:rsidRDefault="006C272E" w:rsidP="00344920">
            <w:pPr>
              <w:pStyle w:val="ivhi"/>
            </w:pPr>
            <w:r>
              <w:t xml:space="preserve">Dans les </w:t>
            </w:r>
            <w:r w:rsidRPr="00035DFD">
              <w:t>siècles</w:t>
            </w:r>
            <w:r>
              <w:t xml:space="preserve"> éternels</w:t>
            </w:r>
            <w:r w:rsidRPr="00035DFD">
              <w:t>.</w:t>
            </w:r>
          </w:p>
        </w:tc>
      </w:tr>
    </w:tbl>
    <w:p w:rsidR="00F40382" w:rsidRDefault="00BF7D1E" w:rsidP="000761C0">
      <w:pPr>
        <w:pStyle w:val="img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527.15pt">
            <v:imagedata r:id="rId8" o:title="VeniRedemptorGentium-sp-01-07"/>
          </v:shape>
        </w:pict>
      </w:r>
    </w:p>
    <w:p w:rsidR="000761C0" w:rsidRDefault="00344920" w:rsidP="000761C0">
      <w:pPr>
        <w:pStyle w:val="img"/>
      </w:pPr>
      <w:r>
        <w:lastRenderedPageBreak/>
        <w:pict>
          <v:shape id="_x0000_i1026" type="#_x0000_t75" style="width:354pt;height:527.15pt">
            <v:imagedata r:id="rId9" o:title="VeniRedemptorGentium-sp-08-14"/>
          </v:shape>
        </w:pict>
      </w:r>
    </w:p>
    <w:p w:rsidR="000761C0" w:rsidRDefault="003604E6" w:rsidP="003604E6">
      <w:pPr>
        <w:pStyle w:val="st1"/>
      </w:pPr>
      <w:r w:rsidRPr="00035DFD">
        <w:lastRenderedPageBreak/>
        <w:t>Veni Redémptor géntium</w:t>
      </w:r>
      <w:r>
        <w:t xml:space="preserve"> </w:t>
      </w:r>
    </w:p>
    <w:p w:rsidR="003604E6" w:rsidRPr="003604E6" w:rsidRDefault="003604E6" w:rsidP="003604E6">
      <w:pPr>
        <w:pStyle w:val="st1"/>
      </w:pPr>
      <w:r w:rsidRPr="003604E6">
        <w:t xml:space="preserve">Ambroise de Milan </w:t>
      </w:r>
    </w:p>
    <w:p w:rsidR="003604E6" w:rsidRPr="006C272E" w:rsidRDefault="003604E6" w:rsidP="003604E6"/>
    <w:sectPr w:rsidR="003604E6" w:rsidRPr="006C272E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C1" w:rsidRDefault="004566C1" w:rsidP="00CE3162">
      <w:r>
        <w:separator/>
      </w:r>
    </w:p>
  </w:endnote>
  <w:endnote w:type="continuationSeparator" w:id="1">
    <w:p w:rsidR="004566C1" w:rsidRDefault="004566C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C1" w:rsidRDefault="004566C1" w:rsidP="00CE3162">
      <w:r>
        <w:separator/>
      </w:r>
    </w:p>
  </w:footnote>
  <w:footnote w:type="continuationSeparator" w:id="1">
    <w:p w:rsidR="004566C1" w:rsidRDefault="004566C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4049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1C0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492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4E6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63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272E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BF7D1E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4049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6C272E"/>
    <w:pPr>
      <w:autoSpaceDE w:val="0"/>
      <w:autoSpaceDN w:val="0"/>
      <w:adjustRightInd w:val="0"/>
      <w:ind w:firstLine="0"/>
    </w:pPr>
    <w:rPr>
      <w:sz w:val="23"/>
      <w:lang w:eastAsia="fr-FR"/>
    </w:rPr>
  </w:style>
  <w:style w:type="paragraph" w:customStyle="1" w:styleId="iv">
    <w:name w:val="iv"/>
    <w:basedOn w:val="i"/>
    <w:uiPriority w:val="4"/>
    <w:qFormat/>
    <w:rsid w:val="006C272E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344920"/>
    <w:rPr>
      <w:sz w:val="24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6C272E"/>
    <w:pPr>
      <w:jc w:val="left"/>
    </w:pPr>
    <w:rPr>
      <w:sz w:val="24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hima">
    <w:name w:val="hima"/>
    <w:basedOn w:val="hymnus"/>
    <w:uiPriority w:val="9"/>
    <w:qFormat/>
    <w:rsid w:val="006C272E"/>
    <w:pPr>
      <w:spacing w:after="80"/>
      <w:contextualSpacing/>
    </w:pPr>
    <w:rPr>
      <w:sz w:val="25"/>
    </w:rPr>
  </w:style>
  <w:style w:type="paragraph" w:customStyle="1" w:styleId="ivImus">
    <w:name w:val="ivImus"/>
    <w:basedOn w:val="iv"/>
    <w:uiPriority w:val="9"/>
    <w:qFormat/>
    <w:rsid w:val="006C272E"/>
    <w:pPr>
      <w:spacing w:after="80"/>
      <w:contextualSpacing/>
    </w:pPr>
  </w:style>
  <w:style w:type="paragraph" w:customStyle="1" w:styleId="st1">
    <w:name w:val="st1"/>
    <w:uiPriority w:val="9"/>
    <w:qFormat/>
    <w:rsid w:val="003604E6"/>
    <w:pPr>
      <w:jc w:val="center"/>
    </w:pPr>
    <w:rPr>
      <w:rFonts w:ascii="Times New Roman" w:hAnsi="Times New Roman"/>
      <w:sz w:val="26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Petrus Secundus</cp:lastModifiedBy>
  <cp:revision>95</cp:revision>
  <cp:lastPrinted>2021-04-04T11:08:00Z</cp:lastPrinted>
  <dcterms:created xsi:type="dcterms:W3CDTF">2018-10-21T07:29:00Z</dcterms:created>
  <dcterms:modified xsi:type="dcterms:W3CDTF">2021-11-04T14:50:00Z</dcterms:modified>
</cp:coreProperties>
</file>